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8" w:line="218" w:lineRule="auto"/>
        <w:ind w:left="16"/>
        <w:outlineLvl w:val="0"/>
        <w:rPr>
          <w:rFonts w:ascii="宋体" w:hAnsi="宋体" w:eastAsia="宋体" w:cs="宋体"/>
          <w:sz w:val="30"/>
          <w:szCs w:val="30"/>
        </w:rPr>
      </w:pPr>
      <w:bookmarkStart w:id="0" w:name="_GoBack"/>
      <w:bookmarkEnd w:id="0"/>
      <w:r>
        <w:rPr>
          <w:rFonts w:ascii="宋体" w:hAnsi="宋体" w:eastAsia="宋体" w:cs="宋体"/>
          <w:b/>
          <w:bCs/>
          <w:spacing w:val="-3"/>
          <w:sz w:val="30"/>
          <w:szCs w:val="30"/>
        </w:rPr>
        <w:t>【</w:t>
      </w:r>
      <w:r>
        <w:rPr>
          <w:rFonts w:hint="eastAsia" w:ascii="宋体" w:hAnsi="宋体" w:eastAsia="宋体" w:cs="宋体"/>
          <w:b/>
          <w:bCs/>
          <w:spacing w:val="-3"/>
          <w:sz w:val="30"/>
          <w:szCs w:val="30"/>
          <w:lang w:val="en-US" w:eastAsia="zh-CN"/>
        </w:rPr>
        <w:t>1</w:t>
      </w:r>
      <w:r>
        <w:rPr>
          <w:rFonts w:ascii="宋体" w:hAnsi="宋体" w:eastAsia="宋体" w:cs="宋体"/>
          <w:b/>
          <w:bCs/>
          <w:spacing w:val="-3"/>
          <w:sz w:val="30"/>
          <w:szCs w:val="30"/>
        </w:rPr>
        <w:t>】个体工商户注销登记提交材料规范</w:t>
      </w:r>
    </w:p>
    <w:p>
      <w:pPr>
        <w:spacing w:before="117" w:line="218" w:lineRule="auto"/>
        <w:ind w:left="521"/>
        <w:rPr>
          <w:rFonts w:ascii="宋体" w:hAnsi="宋体" w:eastAsia="宋体" w:cs="宋体"/>
          <w:sz w:val="24"/>
          <w:szCs w:val="24"/>
        </w:rPr>
      </w:pPr>
      <w:r>
        <w:rPr>
          <w:rFonts w:ascii="宋体" w:hAnsi="宋体" w:eastAsia="宋体" w:cs="宋体"/>
          <w:spacing w:val="-2"/>
          <w:sz w:val="24"/>
          <w:szCs w:val="24"/>
        </w:rPr>
        <w:t>1.《个体工商户登记（备案）申请书》。</w:t>
      </w:r>
    </w:p>
    <w:p>
      <w:pPr>
        <w:spacing w:before="138" w:line="270" w:lineRule="auto"/>
        <w:ind w:left="22" w:right="1" w:firstLine="483"/>
        <w:rPr>
          <w:rFonts w:ascii="宋体" w:hAnsi="宋体" w:eastAsia="宋体" w:cs="宋体"/>
          <w:sz w:val="24"/>
          <w:szCs w:val="24"/>
        </w:rPr>
      </w:pPr>
      <w:r>
        <w:rPr>
          <w:rFonts w:ascii="宋体" w:hAnsi="宋体" w:eastAsia="宋体" w:cs="宋体"/>
          <w:spacing w:val="-10"/>
          <w:sz w:val="24"/>
          <w:szCs w:val="24"/>
        </w:rPr>
        <w:t>2.清税证明材料（登记机关和税务部门已共享清税信息的，无需提交纸质清税证明材料）。</w:t>
      </w:r>
    </w:p>
    <w:p>
      <w:pPr>
        <w:spacing w:before="135" w:line="297" w:lineRule="auto"/>
        <w:ind w:left="22" w:right="25" w:firstLine="485"/>
        <w:rPr>
          <w:rFonts w:ascii="宋体" w:hAnsi="宋体" w:eastAsia="宋体" w:cs="宋体"/>
          <w:sz w:val="24"/>
          <w:szCs w:val="24"/>
        </w:rPr>
      </w:pPr>
      <w:r>
        <w:rPr>
          <w:rFonts w:ascii="宋体" w:hAnsi="宋体" w:eastAsia="宋体" w:cs="宋体"/>
          <w:spacing w:val="4"/>
          <w:sz w:val="24"/>
          <w:szCs w:val="24"/>
        </w:rPr>
        <w:t>3.个体工商户经营者死亡的，继承人办理注</w:t>
      </w:r>
      <w:r>
        <w:rPr>
          <w:rFonts w:ascii="宋体" w:hAnsi="宋体" w:eastAsia="宋体" w:cs="宋体"/>
          <w:spacing w:val="3"/>
          <w:sz w:val="24"/>
          <w:szCs w:val="24"/>
        </w:rPr>
        <w:t>销登记的，还应当提交经公证</w:t>
      </w:r>
      <w:r>
        <w:rPr>
          <w:rFonts w:ascii="宋体" w:hAnsi="宋体" w:eastAsia="宋体" w:cs="宋体"/>
          <w:spacing w:val="11"/>
          <w:sz w:val="24"/>
          <w:szCs w:val="24"/>
        </w:rPr>
        <w:t>机构出具的公证文书或生效的法律文书（包括但不限于人民法院生效判决、裁定，民事调解书或经人民法院确认的人民调解协议书及其他足以证明继承</w:t>
      </w:r>
      <w:r>
        <w:rPr>
          <w:rFonts w:ascii="宋体" w:hAnsi="宋体" w:eastAsia="宋体" w:cs="宋体"/>
          <w:spacing w:val="9"/>
          <w:sz w:val="24"/>
          <w:szCs w:val="24"/>
        </w:rPr>
        <w:t>关系的法律文书）等继承证明材料。</w:t>
      </w:r>
    </w:p>
    <w:p>
      <w:pPr>
        <w:spacing w:before="136" w:line="218" w:lineRule="auto"/>
        <w:ind w:left="502"/>
        <w:rPr>
          <w:rFonts w:ascii="宋体" w:hAnsi="宋体" w:eastAsia="宋体" w:cs="宋体"/>
          <w:sz w:val="24"/>
          <w:szCs w:val="24"/>
        </w:rPr>
      </w:pPr>
      <w:r>
        <w:rPr>
          <w:rFonts w:ascii="宋体" w:hAnsi="宋体" w:eastAsia="宋体" w:cs="宋体"/>
          <w:spacing w:val="-1"/>
          <w:sz w:val="24"/>
          <w:szCs w:val="24"/>
        </w:rPr>
        <w:t>4.提交申请材料的人员（经办人）的自然人身份证明复印件。</w:t>
      </w:r>
    </w:p>
    <w:p>
      <w:pPr>
        <w:spacing w:before="136" w:line="218" w:lineRule="auto"/>
        <w:ind w:left="508"/>
        <w:rPr>
          <w:rFonts w:ascii="宋体" w:hAnsi="宋体" w:eastAsia="宋体" w:cs="宋体"/>
          <w:sz w:val="24"/>
          <w:szCs w:val="24"/>
        </w:rPr>
      </w:pPr>
      <w:r>
        <w:rPr>
          <w:rFonts w:ascii="宋体" w:hAnsi="宋体" w:eastAsia="宋体" w:cs="宋体"/>
          <w:spacing w:val="-2"/>
          <w:sz w:val="24"/>
          <w:szCs w:val="24"/>
        </w:rPr>
        <w:t>5.申请简易注销登记的，提交本规范第</w:t>
      </w:r>
      <w:r>
        <w:rPr>
          <w:rFonts w:ascii="宋体" w:hAnsi="宋体" w:eastAsia="宋体" w:cs="宋体"/>
          <w:spacing w:val="-33"/>
          <w:sz w:val="24"/>
          <w:szCs w:val="24"/>
        </w:rPr>
        <w:t xml:space="preserve"> </w:t>
      </w:r>
      <w:r>
        <w:rPr>
          <w:rFonts w:ascii="宋体" w:hAnsi="宋体" w:eastAsia="宋体" w:cs="宋体"/>
          <w:spacing w:val="-2"/>
          <w:sz w:val="24"/>
          <w:szCs w:val="24"/>
        </w:rPr>
        <w:t>1、4</w:t>
      </w:r>
      <w:r>
        <w:rPr>
          <w:rFonts w:ascii="宋体" w:hAnsi="宋体" w:eastAsia="宋体" w:cs="宋体"/>
          <w:spacing w:val="-50"/>
          <w:sz w:val="24"/>
          <w:szCs w:val="24"/>
        </w:rPr>
        <w:t xml:space="preserve"> </w:t>
      </w:r>
      <w:r>
        <w:rPr>
          <w:rFonts w:ascii="宋体" w:hAnsi="宋体" w:eastAsia="宋体" w:cs="宋体"/>
          <w:spacing w:val="-2"/>
          <w:sz w:val="24"/>
          <w:szCs w:val="24"/>
        </w:rPr>
        <w:t>项</w:t>
      </w:r>
      <w:r>
        <w:rPr>
          <w:rFonts w:ascii="宋体" w:hAnsi="宋体" w:eastAsia="宋体" w:cs="宋体"/>
          <w:spacing w:val="-3"/>
          <w:sz w:val="24"/>
          <w:szCs w:val="24"/>
        </w:rPr>
        <w:t>材料。</w:t>
      </w:r>
    </w:p>
    <w:p>
      <w:pPr>
        <w:pStyle w:val="2"/>
        <w:spacing w:line="257" w:lineRule="auto"/>
      </w:pPr>
    </w:p>
    <w:p>
      <w:pPr>
        <w:pStyle w:val="2"/>
        <w:spacing w:line="258" w:lineRule="auto"/>
      </w:pPr>
    </w:p>
    <w:p>
      <w:pPr>
        <w:spacing w:before="65" w:line="386" w:lineRule="auto"/>
        <w:ind w:left="24" w:right="15" w:firstLine="420"/>
        <w:rPr>
          <w:rFonts w:ascii="宋体" w:hAnsi="宋体" w:eastAsia="宋体" w:cs="宋体"/>
          <w:sz w:val="20"/>
          <w:szCs w:val="20"/>
        </w:rPr>
      </w:pPr>
      <w:r>
        <w:rPr>
          <w:rFonts w:ascii="黑体" w:hAnsi="黑体" w:eastAsia="黑体" w:cs="黑体"/>
          <w:spacing w:val="7"/>
          <w:sz w:val="20"/>
          <w:szCs w:val="20"/>
        </w:rPr>
        <w:t>注：</w:t>
      </w:r>
      <w:r>
        <w:rPr>
          <w:rFonts w:ascii="宋体" w:hAnsi="宋体" w:eastAsia="宋体" w:cs="宋体"/>
          <w:spacing w:val="7"/>
          <w:sz w:val="20"/>
          <w:szCs w:val="20"/>
        </w:rPr>
        <w:t>1.依照《促进个体工商户发展条例》《市场主体登记管理条例》《市场主体登记管</w:t>
      </w:r>
      <w:r>
        <w:rPr>
          <w:rFonts w:ascii="宋体" w:hAnsi="宋体" w:eastAsia="宋体" w:cs="宋体"/>
          <w:spacing w:val="9"/>
          <w:sz w:val="20"/>
          <w:szCs w:val="20"/>
        </w:rPr>
        <w:t>理条例实施细则》设立的个体工商户申请注销登记适用本规范。</w:t>
      </w:r>
    </w:p>
    <w:p>
      <w:pPr>
        <w:spacing w:before="1" w:line="356" w:lineRule="auto"/>
        <w:ind w:left="24" w:right="15" w:firstLine="420"/>
        <w:rPr>
          <w:rFonts w:ascii="宋体" w:hAnsi="宋体" w:eastAsia="宋体" w:cs="宋体"/>
          <w:sz w:val="20"/>
          <w:szCs w:val="20"/>
        </w:rPr>
      </w:pPr>
      <w:r>
        <w:rPr>
          <w:rFonts w:ascii="宋体" w:hAnsi="宋体" w:eastAsia="宋体" w:cs="宋体"/>
          <w:spacing w:val="7"/>
          <w:sz w:val="20"/>
          <w:szCs w:val="20"/>
        </w:rPr>
        <w:t>2.个体工商户未发生债权债务或已将债权债务清偿完结，未发生或已结清清偿费用、职</w:t>
      </w:r>
      <w:r>
        <w:rPr>
          <w:rFonts w:ascii="宋体" w:hAnsi="宋体" w:eastAsia="宋体" w:cs="宋体"/>
          <w:spacing w:val="8"/>
          <w:sz w:val="20"/>
          <w:szCs w:val="20"/>
        </w:rPr>
        <w:t>工工资、社会保险费用、法定补偿金、应缴纳</w:t>
      </w:r>
      <w:r>
        <w:rPr>
          <w:rFonts w:ascii="宋体" w:hAnsi="宋体" w:eastAsia="宋体" w:cs="宋体"/>
          <w:spacing w:val="7"/>
          <w:sz w:val="20"/>
          <w:szCs w:val="20"/>
        </w:rPr>
        <w:t>税款（滞纳金、罚款</w:t>
      </w:r>
      <w:r>
        <w:rPr>
          <w:rFonts w:ascii="宋体" w:hAnsi="宋体" w:eastAsia="宋体" w:cs="宋体"/>
          <w:spacing w:val="3"/>
          <w:sz w:val="20"/>
          <w:szCs w:val="20"/>
        </w:rPr>
        <w:t>），</w:t>
      </w:r>
      <w:r>
        <w:rPr>
          <w:rFonts w:ascii="宋体" w:hAnsi="宋体" w:eastAsia="宋体" w:cs="宋体"/>
          <w:spacing w:val="7"/>
          <w:sz w:val="20"/>
          <w:szCs w:val="20"/>
        </w:rPr>
        <w:t>可以按照简易程序办理注销登记。个体工商户通过简易程序办理注销登记的，无需通过国家企业信用信息公示系统进行公示，由登记机关将个体工商户的注销登记申请信息推送至税务等有关部门，有关部</w:t>
      </w:r>
      <w:r>
        <w:rPr>
          <w:rFonts w:ascii="宋体" w:hAnsi="宋体" w:eastAsia="宋体" w:cs="宋体"/>
          <w:spacing w:val="5"/>
          <w:sz w:val="20"/>
          <w:szCs w:val="20"/>
        </w:rPr>
        <w:t>门在</w:t>
      </w:r>
      <w:r>
        <w:rPr>
          <w:rFonts w:ascii="宋体" w:hAnsi="宋体" w:eastAsia="宋体" w:cs="宋体"/>
          <w:spacing w:val="-10"/>
          <w:sz w:val="20"/>
          <w:szCs w:val="20"/>
        </w:rPr>
        <w:t xml:space="preserve"> </w:t>
      </w:r>
      <w:r>
        <w:rPr>
          <w:rFonts w:ascii="宋体" w:hAnsi="宋体" w:eastAsia="宋体" w:cs="宋体"/>
          <w:spacing w:val="5"/>
          <w:sz w:val="20"/>
          <w:szCs w:val="20"/>
        </w:rPr>
        <w:t>10 日内没有提出异议的，可以直接办理注销登记。</w:t>
      </w:r>
    </w:p>
    <w:p>
      <w:pPr>
        <w:spacing w:before="173" w:line="334" w:lineRule="auto"/>
        <w:ind w:left="23" w:right="15" w:firstLine="423"/>
        <w:rPr>
          <w:rFonts w:ascii="宋体" w:hAnsi="宋体" w:eastAsia="宋体" w:cs="宋体"/>
          <w:sz w:val="20"/>
          <w:szCs w:val="20"/>
        </w:rPr>
      </w:pPr>
      <w:r>
        <w:rPr>
          <w:rFonts w:ascii="宋体" w:hAnsi="宋体" w:eastAsia="宋体" w:cs="宋体"/>
          <w:spacing w:val="7"/>
          <w:sz w:val="20"/>
          <w:szCs w:val="20"/>
        </w:rPr>
        <w:t>3.个体工商户注销依法须经批准的，或被吊销营业执照、责令关闭、撤销，或被</w:t>
      </w:r>
      <w:r>
        <w:rPr>
          <w:rFonts w:ascii="宋体" w:hAnsi="宋体" w:eastAsia="宋体" w:cs="宋体"/>
          <w:spacing w:val="6"/>
          <w:sz w:val="20"/>
          <w:szCs w:val="20"/>
        </w:rPr>
        <w:t>列入经</w:t>
      </w:r>
      <w:r>
        <w:rPr>
          <w:rFonts w:ascii="宋体" w:hAnsi="宋体" w:eastAsia="宋体" w:cs="宋体"/>
          <w:spacing w:val="7"/>
          <w:sz w:val="20"/>
          <w:szCs w:val="20"/>
        </w:rPr>
        <w:t>营异常名录的，或属于《市场主体登记管理条例实施细则》第四十八条所列情形的，不适用</w:t>
      </w:r>
      <w:r>
        <w:rPr>
          <w:rFonts w:ascii="宋体" w:hAnsi="宋体" w:eastAsia="宋体" w:cs="宋体"/>
          <w:spacing w:val="6"/>
          <w:sz w:val="20"/>
          <w:szCs w:val="20"/>
        </w:rPr>
        <w:t>简易注销程序。</w:t>
      </w:r>
    </w:p>
    <w:p>
      <w:pPr>
        <w:spacing w:before="176" w:line="226" w:lineRule="auto"/>
        <w:ind w:left="441"/>
        <w:rPr>
          <w:rFonts w:ascii="宋体" w:hAnsi="宋体" w:eastAsia="宋体" w:cs="宋体"/>
          <w:sz w:val="20"/>
          <w:szCs w:val="20"/>
        </w:rPr>
      </w:pPr>
      <w:r>
        <w:rPr>
          <w:rFonts w:ascii="宋体" w:hAnsi="宋体" w:eastAsia="宋体" w:cs="宋体"/>
          <w:spacing w:val="8"/>
          <w:sz w:val="20"/>
          <w:szCs w:val="20"/>
        </w:rPr>
        <w:t>4.已领取纸质版营业执照的缴回营业执照正、副本。</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KaiTi_GB2312">
    <w:altName w:val="楷体"/>
    <w:panose1 w:val="02010609030101010101"/>
    <w:charset w:val="86"/>
    <w:family w:val="auto"/>
    <w:pitch w:val="default"/>
    <w:sig w:usb0="00000000" w:usb1="0000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FangSong_GB2312">
    <w:altName w:val="仿宋_GB2312"/>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4709"/>
      </w:tabs>
      <w:spacing w:line="268" w:lineRule="exact"/>
      <w:rPr>
        <w:rFonts w:ascii="等线" w:hAnsi="等线" w:eastAsia="等线" w:cs="等线"/>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C81403C"/>
    <w:rsid w:val="566071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Body Text"/>
    <w:basedOn w:val="1"/>
    <w:uiPriority w:val="0"/>
    <w:rPr>
      <w:rFonts w:ascii="Arial" w:hAnsi="Arial" w:eastAsia="Arial" w:cs="Arial"/>
      <w:sz w:val="21"/>
      <w:szCs w:val="2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2026-04-28T01:15:02Z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