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凭法院裁判文书申请撤销登记（备案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）提交材料规范</w:t>
      </w:r>
    </w:p>
    <w:bookmarkEnd w:id="0"/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1.《依照法院裁判撤销公司登记（备案）</w:t>
      </w:r>
      <w:r>
        <w:rPr>
          <w:rFonts w:ascii="宋体" w:hAnsi="宋体" w:eastAsia="宋体" w:cs="宋体"/>
          <w:spacing w:val="-2"/>
          <w:sz w:val="24"/>
          <w:szCs w:val="24"/>
        </w:rPr>
        <w:t>申请书》。</w:t>
      </w:r>
    </w:p>
    <w:p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2.人民法院生效的裁判文书。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6" w:lineRule="auto"/>
      </w:pPr>
    </w:p>
    <w:p>
      <w:pPr>
        <w:pStyle w:val="2"/>
        <w:spacing w:line="257" w:lineRule="auto"/>
      </w:pPr>
    </w:p>
    <w:p>
      <w:pPr>
        <w:spacing w:before="65" w:line="388" w:lineRule="auto"/>
        <w:ind w:left="22" w:right="15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1.依照《公司法》《外商投资法》《市场主体登记管理条例》设立</w:t>
      </w:r>
      <w:r>
        <w:rPr>
          <w:rFonts w:ascii="宋体" w:hAnsi="宋体" w:eastAsia="宋体" w:cs="宋体"/>
          <w:spacing w:val="1"/>
          <w:sz w:val="20"/>
          <w:szCs w:val="20"/>
        </w:rPr>
        <w:t>的公司，根据《公</w:t>
      </w:r>
      <w:r>
        <w:rPr>
          <w:rFonts w:ascii="宋体" w:hAnsi="宋体" w:eastAsia="宋体" w:cs="宋体"/>
          <w:spacing w:val="7"/>
          <w:sz w:val="20"/>
          <w:szCs w:val="20"/>
        </w:rPr>
        <w:t>司法》第二十八条规定，因公司股东会、董事会决议被人民法院宣告无效、撤销或确认不成立，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申请撤销相关决议对应的登记（备案）的，适用本规范。</w:t>
      </w:r>
    </w:p>
    <w:p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6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